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35" w:rsidRDefault="00D02735" w:rsidP="008772CC">
      <w:bookmarkStart w:id="0" w:name="_GoBack"/>
      <w:bookmarkEnd w:id="0"/>
    </w:p>
    <w:p w:rsidR="005F2644" w:rsidRDefault="00F10823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2857500" cy="1209675"/>
            <wp:effectExtent l="0" t="0" r="0" b="9525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1" t="69719" r="46976" b="1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2644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</w:t>
      </w:r>
      <w:r w:rsidRPr="00BB5955">
        <w:rPr>
          <w:rFonts w:ascii="Arial" w:hAnsi="Arial" w:cs="Arial"/>
          <w:b/>
          <w:color w:val="000000"/>
          <w:sz w:val="28"/>
          <w:szCs w:val="28"/>
        </w:rPr>
        <w:t xml:space="preserve">strategia institucional de lucha contra la corrupción </w:t>
      </w:r>
    </w:p>
    <w:p w:rsidR="00D02735" w:rsidRPr="00BB5955" w:rsidRDefault="005F2644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B5955">
        <w:rPr>
          <w:rFonts w:ascii="Arial" w:hAnsi="Arial" w:cs="Arial"/>
          <w:b/>
          <w:color w:val="000000"/>
          <w:sz w:val="28"/>
          <w:szCs w:val="28"/>
        </w:rPr>
        <w:t>y atención al ciudadano</w:t>
      </w:r>
    </w:p>
    <w:p w:rsidR="00D02735" w:rsidRPr="00BB5955" w:rsidRDefault="00D0273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02735" w:rsidRPr="00BB5955" w:rsidRDefault="00D0273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02735" w:rsidRDefault="00D0273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5F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955" w:rsidRP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02735" w:rsidRPr="00BB5955" w:rsidRDefault="00D0273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02735" w:rsidRPr="00BB5955" w:rsidRDefault="00D0273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02735" w:rsidRPr="00BB5955" w:rsidRDefault="00BB5955" w:rsidP="00D0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Bogotá D.C., </w:t>
      </w:r>
      <w:r w:rsidR="00DC010F">
        <w:rPr>
          <w:rFonts w:ascii="Arial" w:hAnsi="Arial" w:cs="Arial"/>
          <w:b/>
          <w:color w:val="000000"/>
          <w:sz w:val="28"/>
          <w:szCs w:val="28"/>
        </w:rPr>
        <w:t>enero de 2015</w:t>
      </w:r>
    </w:p>
    <w:p w:rsidR="007555DA" w:rsidRDefault="00D02735">
      <w:r>
        <w:br w:type="page"/>
      </w:r>
    </w:p>
    <w:p w:rsidR="005F2644" w:rsidRDefault="005F2644"/>
    <w:p w:rsidR="00BB5955" w:rsidRPr="00BB5955" w:rsidRDefault="00BB5955" w:rsidP="00BB5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B5955">
        <w:rPr>
          <w:rFonts w:ascii="Arial" w:hAnsi="Arial" w:cs="Arial"/>
          <w:b/>
          <w:color w:val="000000"/>
          <w:sz w:val="28"/>
          <w:szCs w:val="28"/>
        </w:rPr>
        <w:t>ESTRATEGIA INSTITUCIONAL DE LUCHA CONTRA LA CORRUPCIÓN Y ATENCIÓN AL CIUDADANO</w:t>
      </w:r>
    </w:p>
    <w:p w:rsidR="00BB5955" w:rsidRDefault="00BB5955" w:rsidP="00BB5955">
      <w:pPr>
        <w:jc w:val="center"/>
        <w:rPr>
          <w:b/>
          <w:sz w:val="28"/>
          <w:szCs w:val="24"/>
        </w:rPr>
      </w:pPr>
    </w:p>
    <w:p w:rsidR="00E61D5B" w:rsidRDefault="00D5263C" w:rsidP="00D5263C">
      <w:pPr>
        <w:jc w:val="both"/>
        <w:rPr>
          <w:rFonts w:ascii="Arial" w:hAnsi="Arial" w:cs="Arial"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 xml:space="preserve">En cumplimiento a lo establecido en el artículo 73 de la Ley 1424 de 2011 y de acuerdo </w:t>
      </w:r>
      <w:r w:rsidR="00A252BE">
        <w:rPr>
          <w:rFonts w:ascii="Arial" w:hAnsi="Arial" w:cs="Arial"/>
          <w:sz w:val="24"/>
          <w:szCs w:val="24"/>
        </w:rPr>
        <w:t xml:space="preserve">con </w:t>
      </w:r>
      <w:r w:rsidRPr="00A252BE">
        <w:rPr>
          <w:rFonts w:ascii="Arial" w:hAnsi="Arial" w:cs="Arial"/>
          <w:sz w:val="24"/>
          <w:szCs w:val="24"/>
        </w:rPr>
        <w:t xml:space="preserve">la metodología desarrollada por </w:t>
      </w:r>
      <w:r w:rsidR="002C0CE0" w:rsidRPr="00A252BE">
        <w:rPr>
          <w:rFonts w:ascii="Arial" w:hAnsi="Arial" w:cs="Arial"/>
          <w:sz w:val="24"/>
          <w:szCs w:val="24"/>
        </w:rPr>
        <w:t xml:space="preserve">la </w:t>
      </w:r>
      <w:r w:rsidR="00967751" w:rsidRPr="00A252BE">
        <w:rPr>
          <w:rFonts w:ascii="Arial" w:hAnsi="Arial" w:cs="Arial"/>
          <w:sz w:val="24"/>
          <w:szCs w:val="24"/>
        </w:rPr>
        <w:t>S</w:t>
      </w:r>
      <w:r w:rsidR="002C0CE0" w:rsidRPr="00A252BE">
        <w:rPr>
          <w:rFonts w:ascii="Arial" w:hAnsi="Arial" w:cs="Arial"/>
          <w:sz w:val="24"/>
          <w:szCs w:val="24"/>
        </w:rPr>
        <w:t>ecretaría de Transparen</w:t>
      </w:r>
      <w:r w:rsidR="007727A7" w:rsidRPr="00A252BE">
        <w:rPr>
          <w:rFonts w:ascii="Arial" w:hAnsi="Arial" w:cs="Arial"/>
          <w:sz w:val="24"/>
          <w:szCs w:val="24"/>
        </w:rPr>
        <w:t>cia de la Presidencia de la Repú</w:t>
      </w:r>
      <w:r w:rsidR="002C0CE0" w:rsidRPr="00A252BE">
        <w:rPr>
          <w:rFonts w:ascii="Arial" w:hAnsi="Arial" w:cs="Arial"/>
          <w:sz w:val="24"/>
          <w:szCs w:val="24"/>
        </w:rPr>
        <w:t xml:space="preserve">blica, en coordinación con la Dirección de </w:t>
      </w:r>
      <w:r w:rsidR="00967751" w:rsidRPr="00A252BE">
        <w:rPr>
          <w:rFonts w:ascii="Arial" w:hAnsi="Arial" w:cs="Arial"/>
          <w:sz w:val="24"/>
          <w:szCs w:val="24"/>
        </w:rPr>
        <w:t>C</w:t>
      </w:r>
      <w:r w:rsidR="002C0CE0" w:rsidRPr="00A252BE">
        <w:rPr>
          <w:rFonts w:ascii="Arial" w:hAnsi="Arial" w:cs="Arial"/>
          <w:sz w:val="24"/>
          <w:szCs w:val="24"/>
        </w:rPr>
        <w:t>ontrol Interno y Racionalizació</w:t>
      </w:r>
      <w:r w:rsidR="00E61D5B" w:rsidRPr="00A252BE">
        <w:rPr>
          <w:rFonts w:ascii="Arial" w:hAnsi="Arial" w:cs="Arial"/>
          <w:sz w:val="24"/>
          <w:szCs w:val="24"/>
        </w:rPr>
        <w:t>n</w:t>
      </w:r>
      <w:r w:rsidR="002C0CE0" w:rsidRPr="00A252BE">
        <w:rPr>
          <w:rFonts w:ascii="Arial" w:hAnsi="Arial" w:cs="Arial"/>
          <w:sz w:val="24"/>
          <w:szCs w:val="24"/>
        </w:rPr>
        <w:t xml:space="preserve"> de Trámites del Departamento Administrativo de la Función </w:t>
      </w:r>
      <w:r w:rsidR="00E61D5B" w:rsidRPr="00A252BE">
        <w:rPr>
          <w:rFonts w:ascii="Arial" w:hAnsi="Arial" w:cs="Arial"/>
          <w:sz w:val="24"/>
          <w:szCs w:val="24"/>
        </w:rPr>
        <w:t>Pública</w:t>
      </w:r>
      <w:r w:rsidR="002C0CE0" w:rsidRPr="00A252BE">
        <w:rPr>
          <w:rFonts w:ascii="Arial" w:hAnsi="Arial" w:cs="Arial"/>
          <w:sz w:val="24"/>
          <w:szCs w:val="24"/>
        </w:rPr>
        <w:t xml:space="preserve">, el Programa Nacional del Servicio al </w:t>
      </w:r>
      <w:r w:rsidR="00E61D5B" w:rsidRPr="00A252BE">
        <w:rPr>
          <w:rFonts w:ascii="Arial" w:hAnsi="Arial" w:cs="Arial"/>
          <w:sz w:val="24"/>
          <w:szCs w:val="24"/>
        </w:rPr>
        <w:t>Ciudadano</w:t>
      </w:r>
      <w:r w:rsidR="002C0CE0" w:rsidRPr="00A252BE">
        <w:rPr>
          <w:rFonts w:ascii="Arial" w:hAnsi="Arial" w:cs="Arial"/>
          <w:sz w:val="24"/>
          <w:szCs w:val="24"/>
        </w:rPr>
        <w:t xml:space="preserve"> </w:t>
      </w:r>
      <w:r w:rsidR="00E61D5B" w:rsidRPr="00A252BE">
        <w:rPr>
          <w:rFonts w:ascii="Arial" w:hAnsi="Arial" w:cs="Arial"/>
          <w:sz w:val="24"/>
          <w:szCs w:val="24"/>
        </w:rPr>
        <w:t>y la Dirección de Seguimiento y Evaluación a Políticas Públicas del Departamento Nacional de Planeación</w:t>
      </w:r>
      <w:r w:rsidR="00967751" w:rsidRPr="00A252BE">
        <w:rPr>
          <w:rFonts w:ascii="Arial" w:hAnsi="Arial" w:cs="Arial"/>
          <w:sz w:val="24"/>
          <w:szCs w:val="24"/>
        </w:rPr>
        <w:t>, e</w:t>
      </w:r>
      <w:r w:rsidR="00E61D5B" w:rsidRPr="00A252BE">
        <w:rPr>
          <w:rFonts w:ascii="Arial" w:hAnsi="Arial" w:cs="Arial"/>
          <w:sz w:val="24"/>
          <w:szCs w:val="24"/>
        </w:rPr>
        <w:t xml:space="preserve">l Servicio Geológico Colombiano ha desarrollado </w:t>
      </w:r>
      <w:r w:rsidR="00A06947" w:rsidRPr="00A252BE">
        <w:rPr>
          <w:rFonts w:ascii="Arial" w:hAnsi="Arial" w:cs="Arial"/>
          <w:sz w:val="24"/>
          <w:szCs w:val="24"/>
        </w:rPr>
        <w:t xml:space="preserve">el </w:t>
      </w:r>
      <w:r w:rsidR="00E61D5B" w:rsidRPr="00A252BE">
        <w:rPr>
          <w:rFonts w:ascii="Arial" w:hAnsi="Arial" w:cs="Arial"/>
          <w:sz w:val="24"/>
          <w:szCs w:val="24"/>
        </w:rPr>
        <w:t>siguiente pl</w:t>
      </w:r>
      <w:r w:rsidR="004F53A9">
        <w:rPr>
          <w:rFonts w:ascii="Arial" w:hAnsi="Arial" w:cs="Arial"/>
          <w:sz w:val="24"/>
          <w:szCs w:val="24"/>
        </w:rPr>
        <w:t xml:space="preserve">an </w:t>
      </w:r>
      <w:r w:rsidR="00E61D5B" w:rsidRPr="00A252BE">
        <w:rPr>
          <w:rFonts w:ascii="Arial" w:hAnsi="Arial" w:cs="Arial"/>
          <w:sz w:val="24"/>
          <w:szCs w:val="24"/>
        </w:rPr>
        <w:t>que nos permit</w:t>
      </w:r>
      <w:r w:rsidR="00967751" w:rsidRPr="00A252BE">
        <w:rPr>
          <w:rFonts w:ascii="Arial" w:hAnsi="Arial" w:cs="Arial"/>
          <w:sz w:val="24"/>
          <w:szCs w:val="24"/>
        </w:rPr>
        <w:t>e</w:t>
      </w:r>
      <w:r w:rsidR="00E61D5B" w:rsidRPr="00A252BE">
        <w:rPr>
          <w:rFonts w:ascii="Arial" w:hAnsi="Arial" w:cs="Arial"/>
          <w:sz w:val="24"/>
          <w:szCs w:val="24"/>
        </w:rPr>
        <w:t xml:space="preserve"> adoptar las nuevas directrices </w:t>
      </w:r>
      <w:r w:rsidR="001D7E1A" w:rsidRPr="00A252BE">
        <w:rPr>
          <w:rFonts w:ascii="Arial" w:hAnsi="Arial" w:cs="Arial"/>
          <w:sz w:val="24"/>
          <w:szCs w:val="24"/>
        </w:rPr>
        <w:t>en pro del mejoramiento del control social y transparencia de la gestión pública</w:t>
      </w:r>
      <w:r w:rsidR="00916F20" w:rsidRPr="00A252BE">
        <w:rPr>
          <w:rFonts w:ascii="Arial" w:hAnsi="Arial" w:cs="Arial"/>
          <w:sz w:val="24"/>
          <w:szCs w:val="24"/>
        </w:rPr>
        <w:t>, en cumplimiento de sus funciones</w:t>
      </w:r>
      <w:r w:rsidR="001D7E1A" w:rsidRPr="00A252BE">
        <w:rPr>
          <w:rFonts w:ascii="Arial" w:hAnsi="Arial" w:cs="Arial"/>
          <w:sz w:val="24"/>
          <w:szCs w:val="24"/>
        </w:rPr>
        <w:t xml:space="preserve">. </w:t>
      </w:r>
    </w:p>
    <w:p w:rsidR="00A252BE" w:rsidRPr="00A252BE" w:rsidRDefault="00A252BE" w:rsidP="00D5263C">
      <w:pPr>
        <w:jc w:val="both"/>
        <w:rPr>
          <w:rFonts w:ascii="Arial" w:hAnsi="Arial" w:cs="Arial"/>
          <w:sz w:val="24"/>
          <w:szCs w:val="24"/>
        </w:rPr>
      </w:pPr>
    </w:p>
    <w:p w:rsidR="00BB5955" w:rsidRPr="00A252BE" w:rsidRDefault="00BB5955" w:rsidP="00BB5955">
      <w:pPr>
        <w:jc w:val="center"/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b/>
          <w:sz w:val="24"/>
          <w:szCs w:val="24"/>
        </w:rPr>
        <w:t>MARCO ESTRATÉGICO</w:t>
      </w:r>
      <w:r w:rsidR="00A252BE">
        <w:rPr>
          <w:rFonts w:ascii="Arial" w:hAnsi="Arial" w:cs="Arial"/>
          <w:b/>
          <w:sz w:val="24"/>
          <w:szCs w:val="24"/>
        </w:rPr>
        <w:t xml:space="preserve"> DEL SERVICIO GEOLÓGICO COLOMBIANO</w:t>
      </w:r>
    </w:p>
    <w:p w:rsidR="00A252BE" w:rsidRDefault="00A252BE" w:rsidP="002E70EA">
      <w:pPr>
        <w:jc w:val="both"/>
        <w:rPr>
          <w:rFonts w:ascii="Arial" w:hAnsi="Arial" w:cs="Arial"/>
          <w:b/>
          <w:sz w:val="24"/>
          <w:szCs w:val="24"/>
        </w:rPr>
      </w:pPr>
    </w:p>
    <w:p w:rsidR="00BB5955" w:rsidRPr="00A252BE" w:rsidRDefault="00BB5955" w:rsidP="002E70EA">
      <w:pPr>
        <w:jc w:val="both"/>
        <w:rPr>
          <w:rFonts w:ascii="Arial" w:hAnsi="Arial" w:cs="Arial"/>
          <w:sz w:val="24"/>
          <w:szCs w:val="24"/>
        </w:rPr>
      </w:pPr>
      <w:r w:rsidRPr="00A252BE">
        <w:rPr>
          <w:rFonts w:ascii="Arial" w:hAnsi="Arial" w:cs="Arial"/>
          <w:b/>
          <w:sz w:val="24"/>
          <w:szCs w:val="24"/>
        </w:rPr>
        <w:t>Misión</w:t>
      </w:r>
    </w:p>
    <w:p w:rsidR="002E70EA" w:rsidRPr="00A252BE" w:rsidRDefault="002E70EA" w:rsidP="002E70EA">
      <w:pPr>
        <w:jc w:val="both"/>
        <w:rPr>
          <w:rFonts w:ascii="Arial" w:hAnsi="Arial" w:cs="Arial"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 xml:space="preserve">Contribuir al desarrollo económico y social del país, a través de la investigación en geociencias básicas y aplicadas del subsuelo, el potencial de sus recursos, la evaluación y monitoreo de amenazas de origen geológico, la gestión integral del conocimiento geocientífico, la investigación y el control nuclear y radiactivo, atendiendo las prioridades de las políticas del Gobierno </w:t>
      </w:r>
      <w:r w:rsidR="00967751" w:rsidRPr="00A252BE">
        <w:rPr>
          <w:rFonts w:ascii="Arial" w:hAnsi="Arial" w:cs="Arial"/>
          <w:sz w:val="24"/>
          <w:szCs w:val="24"/>
        </w:rPr>
        <w:t>n</w:t>
      </w:r>
      <w:r w:rsidRPr="00A252BE">
        <w:rPr>
          <w:rFonts w:ascii="Arial" w:hAnsi="Arial" w:cs="Arial"/>
          <w:sz w:val="24"/>
          <w:szCs w:val="24"/>
        </w:rPr>
        <w:t>acional.</w:t>
      </w:r>
    </w:p>
    <w:p w:rsidR="00D02735" w:rsidRPr="00A252BE" w:rsidRDefault="00BB5955" w:rsidP="008772CC">
      <w:pPr>
        <w:rPr>
          <w:rFonts w:ascii="Arial" w:hAnsi="Arial" w:cs="Arial"/>
          <w:sz w:val="24"/>
          <w:szCs w:val="24"/>
        </w:rPr>
      </w:pPr>
      <w:r w:rsidRPr="00A252BE">
        <w:rPr>
          <w:rFonts w:ascii="Arial" w:hAnsi="Arial" w:cs="Arial"/>
          <w:b/>
          <w:sz w:val="24"/>
          <w:szCs w:val="24"/>
        </w:rPr>
        <w:t>Visión</w:t>
      </w:r>
    </w:p>
    <w:p w:rsidR="00142CD1" w:rsidRPr="00A252BE" w:rsidRDefault="008772CC" w:rsidP="00BB5955">
      <w:pPr>
        <w:jc w:val="both"/>
        <w:rPr>
          <w:rFonts w:ascii="Arial" w:hAnsi="Arial" w:cs="Arial"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>Consolidar para su centenario en el año 2016, al Servicio Geológico Colombiano como la autoridad geocientífica del territorio nacional y entidad líder en la investigación de aplicaciones nucleares y radiactivas.</w:t>
      </w:r>
    </w:p>
    <w:p w:rsidR="00483FEB" w:rsidRPr="00A252BE" w:rsidRDefault="00483FEB" w:rsidP="00BB5955">
      <w:pPr>
        <w:jc w:val="both"/>
        <w:rPr>
          <w:rFonts w:ascii="Arial" w:hAnsi="Arial" w:cs="Arial"/>
          <w:sz w:val="24"/>
          <w:szCs w:val="24"/>
        </w:rPr>
      </w:pPr>
    </w:p>
    <w:p w:rsidR="007555DA" w:rsidRDefault="007555DA" w:rsidP="00BB5955">
      <w:pPr>
        <w:jc w:val="both"/>
        <w:rPr>
          <w:rFonts w:ascii="Arial" w:hAnsi="Arial" w:cs="Arial"/>
          <w:sz w:val="24"/>
          <w:szCs w:val="24"/>
        </w:rPr>
      </w:pPr>
    </w:p>
    <w:p w:rsidR="00A252BE" w:rsidRDefault="00A252BE" w:rsidP="00BB5955">
      <w:pPr>
        <w:jc w:val="both"/>
        <w:rPr>
          <w:rFonts w:ascii="Arial" w:hAnsi="Arial" w:cs="Arial"/>
          <w:sz w:val="24"/>
          <w:szCs w:val="24"/>
        </w:rPr>
      </w:pPr>
    </w:p>
    <w:p w:rsidR="00A252BE" w:rsidRPr="00A252BE" w:rsidRDefault="00A252BE" w:rsidP="00BB5955">
      <w:pPr>
        <w:jc w:val="both"/>
        <w:rPr>
          <w:rFonts w:ascii="Arial" w:hAnsi="Arial" w:cs="Arial"/>
          <w:sz w:val="24"/>
          <w:szCs w:val="24"/>
        </w:rPr>
      </w:pPr>
    </w:p>
    <w:p w:rsidR="008772CC" w:rsidRDefault="008772CC" w:rsidP="00BB5955">
      <w:pPr>
        <w:jc w:val="center"/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b/>
          <w:sz w:val="24"/>
          <w:szCs w:val="24"/>
        </w:rPr>
        <w:lastRenderedPageBreak/>
        <w:t>OBJETIVOS</w:t>
      </w:r>
    </w:p>
    <w:p w:rsidR="00A252BE" w:rsidRPr="00A252BE" w:rsidRDefault="00A252BE" w:rsidP="00BB5955">
      <w:pPr>
        <w:jc w:val="center"/>
        <w:rPr>
          <w:rFonts w:ascii="Arial" w:hAnsi="Arial" w:cs="Arial"/>
          <w:b/>
          <w:sz w:val="24"/>
          <w:szCs w:val="24"/>
        </w:rPr>
      </w:pPr>
    </w:p>
    <w:p w:rsidR="00D02735" w:rsidRPr="00A252BE" w:rsidRDefault="00BB5955" w:rsidP="008772CC">
      <w:pPr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b/>
          <w:sz w:val="24"/>
          <w:szCs w:val="24"/>
        </w:rPr>
        <w:t>Objetivo General</w:t>
      </w:r>
    </w:p>
    <w:p w:rsidR="00D02735" w:rsidRPr="00A252BE" w:rsidRDefault="00D02735" w:rsidP="00D027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 xml:space="preserve">Contribuir al desarrollo de la Política Nacional de Lucha contra la </w:t>
      </w:r>
      <w:r w:rsidR="00967751" w:rsidRPr="00A252BE">
        <w:rPr>
          <w:rFonts w:ascii="Arial" w:hAnsi="Arial" w:cs="Arial"/>
          <w:sz w:val="24"/>
          <w:szCs w:val="24"/>
        </w:rPr>
        <w:t>C</w:t>
      </w:r>
      <w:r w:rsidRPr="00A252BE">
        <w:rPr>
          <w:rFonts w:ascii="Arial" w:hAnsi="Arial" w:cs="Arial"/>
          <w:sz w:val="24"/>
          <w:szCs w:val="24"/>
        </w:rPr>
        <w:t xml:space="preserve">orrupción y </w:t>
      </w:r>
      <w:r w:rsidR="00967751" w:rsidRPr="00A252BE">
        <w:rPr>
          <w:rFonts w:ascii="Arial" w:hAnsi="Arial" w:cs="Arial"/>
          <w:sz w:val="24"/>
          <w:szCs w:val="24"/>
        </w:rPr>
        <w:t>A</w:t>
      </w:r>
      <w:r w:rsidRPr="00A252BE">
        <w:rPr>
          <w:rFonts w:ascii="Arial" w:hAnsi="Arial" w:cs="Arial"/>
          <w:sz w:val="24"/>
          <w:szCs w:val="24"/>
        </w:rPr>
        <w:t xml:space="preserve">tención al </w:t>
      </w:r>
      <w:r w:rsidR="00967751" w:rsidRPr="00A252BE">
        <w:rPr>
          <w:rFonts w:ascii="Arial" w:hAnsi="Arial" w:cs="Arial"/>
          <w:sz w:val="24"/>
          <w:szCs w:val="24"/>
        </w:rPr>
        <w:t>C</w:t>
      </w:r>
      <w:r w:rsidRPr="00A252BE">
        <w:rPr>
          <w:rFonts w:ascii="Arial" w:hAnsi="Arial" w:cs="Arial"/>
          <w:sz w:val="24"/>
          <w:szCs w:val="24"/>
        </w:rPr>
        <w:t xml:space="preserve">iudadano, a través de la implementación de medidas específicas encaminadas a robustecer </w:t>
      </w:r>
      <w:r w:rsidR="00A252BE">
        <w:rPr>
          <w:rFonts w:ascii="Arial" w:hAnsi="Arial" w:cs="Arial"/>
          <w:sz w:val="24"/>
          <w:szCs w:val="24"/>
        </w:rPr>
        <w:t>la gestión institucional</w:t>
      </w:r>
      <w:r w:rsidRPr="00A252BE">
        <w:rPr>
          <w:rFonts w:ascii="Arial" w:hAnsi="Arial" w:cs="Arial"/>
          <w:sz w:val="24"/>
          <w:szCs w:val="24"/>
        </w:rPr>
        <w:t xml:space="preserve"> en </w:t>
      </w:r>
      <w:r w:rsidR="00967751" w:rsidRPr="00A252BE">
        <w:rPr>
          <w:rFonts w:ascii="Arial" w:hAnsi="Arial" w:cs="Arial"/>
          <w:sz w:val="24"/>
          <w:szCs w:val="24"/>
        </w:rPr>
        <w:t xml:space="preserve">el </w:t>
      </w:r>
      <w:r w:rsidR="005B12FE" w:rsidRPr="00A252BE">
        <w:rPr>
          <w:rFonts w:ascii="Arial" w:hAnsi="Arial" w:cs="Arial"/>
          <w:sz w:val="24"/>
          <w:szCs w:val="24"/>
        </w:rPr>
        <w:t>Servicio Geológico Colombiano</w:t>
      </w:r>
      <w:r w:rsidRPr="00A252BE">
        <w:rPr>
          <w:rFonts w:ascii="Arial" w:hAnsi="Arial" w:cs="Arial"/>
          <w:sz w:val="24"/>
          <w:szCs w:val="24"/>
        </w:rPr>
        <w:t xml:space="preserve"> para prevenir y mitigar los ries</w:t>
      </w:r>
      <w:r w:rsidR="00A252BE">
        <w:rPr>
          <w:rFonts w:ascii="Arial" w:hAnsi="Arial" w:cs="Arial"/>
          <w:sz w:val="24"/>
          <w:szCs w:val="24"/>
        </w:rPr>
        <w:t xml:space="preserve">gos de corrupción, así como </w:t>
      </w:r>
      <w:r w:rsidRPr="00A252BE">
        <w:rPr>
          <w:rFonts w:ascii="Arial" w:hAnsi="Arial" w:cs="Arial"/>
          <w:sz w:val="24"/>
          <w:szCs w:val="24"/>
        </w:rPr>
        <w:t xml:space="preserve">optimizar </w:t>
      </w:r>
      <w:r w:rsidR="00A252BE">
        <w:rPr>
          <w:rFonts w:ascii="Arial" w:hAnsi="Arial" w:cs="Arial"/>
          <w:sz w:val="24"/>
          <w:szCs w:val="24"/>
        </w:rPr>
        <w:t xml:space="preserve">la </w:t>
      </w:r>
      <w:r w:rsidRPr="00A252BE">
        <w:rPr>
          <w:rFonts w:ascii="Arial" w:hAnsi="Arial" w:cs="Arial"/>
          <w:sz w:val="24"/>
          <w:szCs w:val="24"/>
        </w:rPr>
        <w:t>simplificación de trámites, rendición de cuentas y atención al ciudadano.</w:t>
      </w:r>
    </w:p>
    <w:p w:rsidR="00D02735" w:rsidRPr="00A252BE" w:rsidRDefault="00D02735" w:rsidP="008772CC">
      <w:pPr>
        <w:rPr>
          <w:rFonts w:ascii="Arial" w:hAnsi="Arial" w:cs="Arial"/>
          <w:sz w:val="24"/>
          <w:szCs w:val="24"/>
        </w:rPr>
      </w:pPr>
    </w:p>
    <w:p w:rsidR="00D02735" w:rsidRPr="00A252BE" w:rsidRDefault="00BB5955" w:rsidP="008772CC">
      <w:pPr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b/>
          <w:sz w:val="24"/>
          <w:szCs w:val="24"/>
        </w:rPr>
        <w:t>Objetivos Específicos</w:t>
      </w:r>
    </w:p>
    <w:p w:rsidR="00302555" w:rsidRPr="00A252BE" w:rsidRDefault="00C77A16" w:rsidP="009677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 xml:space="preserve">Elaborar un plan que </w:t>
      </w:r>
      <w:r w:rsidR="00302555" w:rsidRPr="00A252BE">
        <w:rPr>
          <w:rFonts w:ascii="Arial" w:hAnsi="Arial" w:cs="Arial"/>
          <w:sz w:val="24"/>
          <w:szCs w:val="24"/>
        </w:rPr>
        <w:t>reúna todas aquellas acciones encaminadas al cumplimiento de la Ley 1474 de 2011.</w:t>
      </w:r>
    </w:p>
    <w:p w:rsidR="00AE2505" w:rsidRPr="00A252BE" w:rsidRDefault="00AE2505" w:rsidP="00AE2505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>Fortalecer los mecanismos de prevención de los actos de corrupción.</w:t>
      </w:r>
    </w:p>
    <w:p w:rsidR="00564E22" w:rsidRPr="00A252BE" w:rsidRDefault="00564E22" w:rsidP="009677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>Fortalecer los mecanismos de control social de la administración pública dentro de la entidad.</w:t>
      </w:r>
    </w:p>
    <w:p w:rsidR="00153D9E" w:rsidRPr="00A252BE" w:rsidRDefault="00302555" w:rsidP="009677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>Es</w:t>
      </w:r>
      <w:r w:rsidR="00A252BE">
        <w:rPr>
          <w:rFonts w:ascii="Arial" w:hAnsi="Arial" w:cs="Arial"/>
          <w:sz w:val="24"/>
          <w:szCs w:val="24"/>
        </w:rPr>
        <w:t xml:space="preserve">tablecer metas organizacionales </w:t>
      </w:r>
      <w:r w:rsidR="00AE2505" w:rsidRPr="00A252BE">
        <w:rPr>
          <w:rFonts w:ascii="Arial" w:hAnsi="Arial" w:cs="Arial"/>
          <w:sz w:val="24"/>
          <w:szCs w:val="24"/>
        </w:rPr>
        <w:t xml:space="preserve">cuantificables que faciliten el seguimiento al plan </w:t>
      </w:r>
      <w:r w:rsidR="00A252BE">
        <w:rPr>
          <w:rFonts w:ascii="Arial" w:hAnsi="Arial" w:cs="Arial"/>
          <w:sz w:val="24"/>
          <w:szCs w:val="24"/>
        </w:rPr>
        <w:t>anticorrupción.</w:t>
      </w:r>
    </w:p>
    <w:p w:rsidR="00A252BE" w:rsidRPr="00A252BE" w:rsidRDefault="00A252BE" w:rsidP="00A252B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53D9E" w:rsidRPr="00A252BE" w:rsidRDefault="007727A7" w:rsidP="00153D9E">
      <w:pPr>
        <w:rPr>
          <w:rFonts w:ascii="Arial" w:hAnsi="Arial" w:cs="Arial"/>
          <w:b/>
          <w:sz w:val="24"/>
          <w:szCs w:val="24"/>
        </w:rPr>
      </w:pPr>
      <w:r w:rsidRPr="00A252BE">
        <w:rPr>
          <w:rFonts w:ascii="Arial" w:hAnsi="Arial" w:cs="Arial"/>
          <w:b/>
          <w:sz w:val="24"/>
          <w:szCs w:val="24"/>
        </w:rPr>
        <w:t>Compromiso de la Entidad</w:t>
      </w:r>
    </w:p>
    <w:p w:rsidR="005A327E" w:rsidRDefault="00056B90" w:rsidP="00056B90">
      <w:pPr>
        <w:jc w:val="both"/>
        <w:rPr>
          <w:rFonts w:ascii="Arial" w:hAnsi="Arial" w:cs="Arial"/>
          <w:sz w:val="24"/>
          <w:szCs w:val="24"/>
        </w:rPr>
      </w:pPr>
      <w:r w:rsidRPr="00A252BE">
        <w:rPr>
          <w:rFonts w:ascii="Arial" w:hAnsi="Arial" w:cs="Arial"/>
          <w:sz w:val="24"/>
          <w:szCs w:val="24"/>
        </w:rPr>
        <w:t xml:space="preserve">Conscientes de la importancia de fortalecer los mecanismos de prevención de actos de corrupción y la efectividad del control de la gestión pública, establecidas en </w:t>
      </w:r>
      <w:r w:rsidR="004D7804">
        <w:rPr>
          <w:rFonts w:ascii="Arial" w:hAnsi="Arial" w:cs="Arial"/>
          <w:sz w:val="24"/>
          <w:szCs w:val="24"/>
        </w:rPr>
        <w:t xml:space="preserve">la Ley </w:t>
      </w:r>
      <w:r w:rsidRPr="00A252BE">
        <w:rPr>
          <w:rFonts w:ascii="Arial" w:hAnsi="Arial" w:cs="Arial"/>
          <w:sz w:val="24"/>
          <w:szCs w:val="24"/>
        </w:rPr>
        <w:t>1474 de 2011</w:t>
      </w:r>
      <w:r w:rsidR="004D7804">
        <w:rPr>
          <w:rFonts w:ascii="Arial" w:hAnsi="Arial" w:cs="Arial"/>
          <w:sz w:val="24"/>
          <w:szCs w:val="24"/>
        </w:rPr>
        <w:t xml:space="preserve"> Estatuto Anticorrupción</w:t>
      </w:r>
      <w:r w:rsidRPr="00A252BE">
        <w:rPr>
          <w:rFonts w:ascii="Arial" w:hAnsi="Arial" w:cs="Arial"/>
          <w:sz w:val="24"/>
          <w:szCs w:val="24"/>
        </w:rPr>
        <w:t>, el S</w:t>
      </w:r>
      <w:r w:rsidR="00967751" w:rsidRPr="00A252BE">
        <w:rPr>
          <w:rFonts w:ascii="Arial" w:hAnsi="Arial" w:cs="Arial"/>
          <w:sz w:val="24"/>
          <w:szCs w:val="24"/>
        </w:rPr>
        <w:t>ervicio</w:t>
      </w:r>
      <w:r w:rsidRPr="00A252BE">
        <w:rPr>
          <w:rFonts w:ascii="Arial" w:hAnsi="Arial" w:cs="Arial"/>
          <w:sz w:val="24"/>
          <w:szCs w:val="24"/>
        </w:rPr>
        <w:t xml:space="preserve"> G</w:t>
      </w:r>
      <w:r w:rsidR="00967751" w:rsidRPr="00A252BE">
        <w:rPr>
          <w:rFonts w:ascii="Arial" w:hAnsi="Arial" w:cs="Arial"/>
          <w:sz w:val="24"/>
          <w:szCs w:val="24"/>
        </w:rPr>
        <w:t>eológico</w:t>
      </w:r>
      <w:r w:rsidRPr="00A252BE">
        <w:rPr>
          <w:rFonts w:ascii="Arial" w:hAnsi="Arial" w:cs="Arial"/>
          <w:sz w:val="24"/>
          <w:szCs w:val="24"/>
        </w:rPr>
        <w:t xml:space="preserve"> C</w:t>
      </w:r>
      <w:r w:rsidR="00967751" w:rsidRPr="00A252BE">
        <w:rPr>
          <w:rFonts w:ascii="Arial" w:hAnsi="Arial" w:cs="Arial"/>
          <w:sz w:val="24"/>
          <w:szCs w:val="24"/>
        </w:rPr>
        <w:t>olombiano</w:t>
      </w:r>
      <w:r w:rsidRPr="00A252BE">
        <w:rPr>
          <w:rFonts w:ascii="Arial" w:hAnsi="Arial" w:cs="Arial"/>
          <w:sz w:val="24"/>
          <w:szCs w:val="24"/>
        </w:rPr>
        <w:t xml:space="preserve"> está comprometido con la construcción de unas condiciones propicias que generen bienestar para los ciudadanos presentando las medidas tendientes a fortalecer la lucha anticorrupción, ejerciendo control social, participativo y oportuno, mediante procesos transparentes, que garanticen la igualdad de oportunidades, el trato digno y </w:t>
      </w:r>
      <w:r w:rsidR="00A252BE">
        <w:rPr>
          <w:rFonts w:ascii="Arial" w:hAnsi="Arial" w:cs="Arial"/>
          <w:sz w:val="24"/>
          <w:szCs w:val="24"/>
        </w:rPr>
        <w:t>la eficiencia administrativa.</w:t>
      </w:r>
    </w:p>
    <w:p w:rsidR="006877AF" w:rsidRPr="00A252BE" w:rsidRDefault="006877AF" w:rsidP="00056B90">
      <w:pPr>
        <w:jc w:val="both"/>
        <w:rPr>
          <w:rFonts w:ascii="Arial" w:hAnsi="Arial" w:cs="Arial"/>
          <w:sz w:val="24"/>
          <w:szCs w:val="24"/>
        </w:rPr>
      </w:pPr>
    </w:p>
    <w:p w:rsidR="002130DC" w:rsidRDefault="006877AF" w:rsidP="001B16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Política de Administración de Riesgos d</w:t>
      </w:r>
      <w:r w:rsidRPr="006877AF">
        <w:rPr>
          <w:rFonts w:ascii="Arial" w:hAnsi="Arial" w:cs="Arial"/>
          <w:b/>
          <w:sz w:val="24"/>
          <w:szCs w:val="24"/>
        </w:rPr>
        <w:t>e Corrupción.</w:t>
      </w:r>
    </w:p>
    <w:p w:rsidR="006877AF" w:rsidRPr="006877AF" w:rsidRDefault="00520DA4" w:rsidP="000D494B">
      <w:pPr>
        <w:jc w:val="both"/>
        <w:rPr>
          <w:rFonts w:ascii="Arial" w:hAnsi="Arial" w:cs="Arial"/>
          <w:sz w:val="24"/>
          <w:szCs w:val="24"/>
        </w:rPr>
      </w:pPr>
      <w:r w:rsidRPr="00520DA4">
        <w:rPr>
          <w:rFonts w:ascii="Arial" w:hAnsi="Arial" w:cs="Arial"/>
          <w:sz w:val="24"/>
          <w:szCs w:val="24"/>
        </w:rPr>
        <w:t>El Servicio Geológico Colombiano</w:t>
      </w:r>
      <w:r w:rsidR="00E4705C">
        <w:rPr>
          <w:rFonts w:ascii="Arial" w:hAnsi="Arial" w:cs="Arial"/>
          <w:sz w:val="24"/>
          <w:szCs w:val="24"/>
        </w:rPr>
        <w:t xml:space="preserve"> documenta y analiza</w:t>
      </w:r>
      <w:r w:rsidR="004D4120">
        <w:rPr>
          <w:rFonts w:ascii="Arial" w:hAnsi="Arial" w:cs="Arial"/>
          <w:sz w:val="24"/>
          <w:szCs w:val="24"/>
        </w:rPr>
        <w:t xml:space="preserve"> los riesgos de posibles actos de corrupción dentro del Mapa de Riesgos por Proceso e Institucional, </w:t>
      </w:r>
      <w:r w:rsidR="009A5A9C">
        <w:rPr>
          <w:rFonts w:ascii="Arial" w:hAnsi="Arial" w:cs="Arial"/>
          <w:sz w:val="24"/>
          <w:szCs w:val="24"/>
        </w:rPr>
        <w:t xml:space="preserve">acorde con la metodología establecida por el DAFP, entendiendo </w:t>
      </w:r>
      <w:r w:rsidR="009A5A9C" w:rsidRPr="009A5A9C">
        <w:rPr>
          <w:rFonts w:ascii="Arial" w:hAnsi="Arial" w:cs="Arial"/>
          <w:sz w:val="24"/>
          <w:szCs w:val="24"/>
        </w:rPr>
        <w:t>que un acto de corrupción</w:t>
      </w:r>
      <w:r w:rsidR="00D050F1" w:rsidRPr="00D050F1">
        <w:rPr>
          <w:rFonts w:ascii="Arial" w:hAnsi="Arial" w:cs="Arial"/>
          <w:sz w:val="24"/>
          <w:szCs w:val="24"/>
        </w:rPr>
        <w:t xml:space="preserve"> </w:t>
      </w:r>
      <w:r w:rsidR="00D050F1" w:rsidRPr="009A5A9C">
        <w:rPr>
          <w:rFonts w:ascii="Arial" w:hAnsi="Arial" w:cs="Arial"/>
          <w:sz w:val="24"/>
          <w:szCs w:val="24"/>
        </w:rPr>
        <w:t>es inaceptable e intolerable</w:t>
      </w:r>
      <w:r w:rsidR="00D050F1">
        <w:rPr>
          <w:rFonts w:ascii="Arial" w:hAnsi="Arial" w:cs="Arial"/>
          <w:sz w:val="24"/>
          <w:szCs w:val="24"/>
        </w:rPr>
        <w:t xml:space="preserve">, por lo tanto </w:t>
      </w:r>
      <w:r w:rsidR="00E4705C">
        <w:rPr>
          <w:rFonts w:ascii="Arial" w:hAnsi="Arial" w:cs="Arial"/>
          <w:sz w:val="24"/>
          <w:szCs w:val="24"/>
        </w:rPr>
        <w:t xml:space="preserve">los controles y </w:t>
      </w:r>
      <w:r w:rsidR="004D4120">
        <w:rPr>
          <w:rFonts w:ascii="Arial" w:hAnsi="Arial" w:cs="Arial"/>
          <w:sz w:val="24"/>
          <w:szCs w:val="24"/>
        </w:rPr>
        <w:t xml:space="preserve">acciones </w:t>
      </w:r>
      <w:r w:rsidR="00B7415D">
        <w:rPr>
          <w:rFonts w:ascii="Arial" w:hAnsi="Arial" w:cs="Arial"/>
          <w:sz w:val="24"/>
          <w:szCs w:val="24"/>
        </w:rPr>
        <w:lastRenderedPageBreak/>
        <w:t>deben estar encaminados a</w:t>
      </w:r>
      <w:r w:rsidR="00D050F1">
        <w:rPr>
          <w:rFonts w:ascii="Arial" w:hAnsi="Arial" w:cs="Arial"/>
          <w:sz w:val="24"/>
          <w:szCs w:val="24"/>
        </w:rPr>
        <w:t xml:space="preserve"> </w:t>
      </w:r>
      <w:r w:rsidR="004D4120">
        <w:rPr>
          <w:rFonts w:ascii="Arial" w:hAnsi="Arial" w:cs="Arial"/>
          <w:sz w:val="24"/>
          <w:szCs w:val="24"/>
        </w:rPr>
        <w:t>evitar</w:t>
      </w:r>
      <w:r w:rsidR="00E4705C">
        <w:rPr>
          <w:rFonts w:ascii="Arial" w:hAnsi="Arial" w:cs="Arial"/>
          <w:sz w:val="24"/>
          <w:szCs w:val="24"/>
        </w:rPr>
        <w:t xml:space="preserve"> o reducir </w:t>
      </w:r>
      <w:r w:rsidR="004D4120">
        <w:rPr>
          <w:rFonts w:ascii="Arial" w:hAnsi="Arial" w:cs="Arial"/>
          <w:sz w:val="24"/>
          <w:szCs w:val="24"/>
        </w:rPr>
        <w:t>la mat</w:t>
      </w:r>
      <w:r w:rsidR="00E4705C">
        <w:rPr>
          <w:rFonts w:ascii="Arial" w:hAnsi="Arial" w:cs="Arial"/>
          <w:sz w:val="24"/>
          <w:szCs w:val="24"/>
        </w:rPr>
        <w:t>erialización de dichos riesgos</w:t>
      </w:r>
      <w:r w:rsidR="00D050F1">
        <w:rPr>
          <w:rFonts w:ascii="Arial" w:hAnsi="Arial" w:cs="Arial"/>
          <w:sz w:val="24"/>
          <w:szCs w:val="24"/>
        </w:rPr>
        <w:t>.  Este</w:t>
      </w:r>
      <w:r w:rsidR="00E4705C">
        <w:rPr>
          <w:rFonts w:ascii="Arial" w:hAnsi="Arial" w:cs="Arial"/>
          <w:sz w:val="24"/>
          <w:szCs w:val="24"/>
        </w:rPr>
        <w:t xml:space="preserve"> ejercicio sistemático e integrado permite a los </w:t>
      </w:r>
      <w:r w:rsidR="00D050F1">
        <w:rPr>
          <w:rFonts w:ascii="Arial" w:hAnsi="Arial" w:cs="Arial"/>
          <w:sz w:val="24"/>
          <w:szCs w:val="24"/>
        </w:rPr>
        <w:t>líderes</w:t>
      </w:r>
      <w:r w:rsidR="00E4705C">
        <w:rPr>
          <w:rFonts w:ascii="Arial" w:hAnsi="Arial" w:cs="Arial"/>
          <w:sz w:val="24"/>
          <w:szCs w:val="24"/>
        </w:rPr>
        <w:t xml:space="preserve"> de proceso </w:t>
      </w:r>
      <w:r w:rsidR="00D050F1">
        <w:rPr>
          <w:rFonts w:ascii="Arial" w:hAnsi="Arial" w:cs="Arial"/>
          <w:sz w:val="24"/>
          <w:szCs w:val="24"/>
        </w:rPr>
        <w:t xml:space="preserve">realizar una gestión oportuna </w:t>
      </w:r>
      <w:r w:rsidR="000D494B">
        <w:rPr>
          <w:rFonts w:ascii="Arial" w:hAnsi="Arial" w:cs="Arial"/>
          <w:sz w:val="24"/>
          <w:szCs w:val="24"/>
        </w:rPr>
        <w:t xml:space="preserve">de sus riesgos </w:t>
      </w:r>
      <w:r w:rsidR="00D050F1">
        <w:rPr>
          <w:rFonts w:ascii="Arial" w:hAnsi="Arial" w:cs="Arial"/>
          <w:sz w:val="24"/>
          <w:szCs w:val="24"/>
        </w:rPr>
        <w:t xml:space="preserve">a través de la definición de acciones preventivas y el monitoreo periódico </w:t>
      </w:r>
      <w:r w:rsidR="000D494B">
        <w:rPr>
          <w:rFonts w:ascii="Arial" w:hAnsi="Arial" w:cs="Arial"/>
          <w:sz w:val="24"/>
          <w:szCs w:val="24"/>
        </w:rPr>
        <w:t>de su implementación y efectividad.</w:t>
      </w:r>
    </w:p>
    <w:p w:rsidR="006877AF" w:rsidRPr="006877AF" w:rsidRDefault="006877AF" w:rsidP="000D494B">
      <w:pPr>
        <w:jc w:val="both"/>
        <w:rPr>
          <w:rFonts w:ascii="Arial" w:hAnsi="Arial" w:cs="Arial"/>
          <w:sz w:val="24"/>
          <w:szCs w:val="24"/>
        </w:rPr>
        <w:sectPr w:rsidR="006877AF" w:rsidRPr="006877AF" w:rsidSect="002130DC">
          <w:pgSz w:w="12242" w:h="15842" w:code="1"/>
          <w:pgMar w:top="1418" w:right="1701" w:bottom="1418" w:left="1985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871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08"/>
        <w:gridCol w:w="1713"/>
        <w:gridCol w:w="1514"/>
        <w:gridCol w:w="861"/>
        <w:gridCol w:w="2835"/>
      </w:tblGrid>
      <w:tr w:rsidR="00906C82" w:rsidRPr="00C10BD0" w:rsidTr="00C10BD0">
        <w:trPr>
          <w:trHeight w:val="411"/>
        </w:trPr>
        <w:tc>
          <w:tcPr>
            <w:tcW w:w="12157" w:type="dxa"/>
            <w:gridSpan w:val="6"/>
            <w:hideMark/>
          </w:tcPr>
          <w:p w:rsidR="005A327E" w:rsidRPr="00C10BD0" w:rsidRDefault="005A327E" w:rsidP="00CC2C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bCs/>
                <w:color w:val="000000"/>
                <w:lang w:eastAsia="es-ES"/>
              </w:rPr>
              <w:lastRenderedPageBreak/>
              <w:t>PLAN ANTICORRUPCIÓN Y DE ATENCIÓN AL CIUDADANO</w:t>
            </w:r>
          </w:p>
        </w:tc>
      </w:tr>
      <w:tr w:rsidR="00AE1A93" w:rsidRPr="00C10BD0" w:rsidTr="00C10BD0">
        <w:trPr>
          <w:trHeight w:val="416"/>
        </w:trPr>
        <w:tc>
          <w:tcPr>
            <w:tcW w:w="1526" w:type="dxa"/>
            <w:noWrap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  </w:t>
            </w:r>
            <w:r w:rsidRPr="00C10BD0">
              <w:rPr>
                <w:rFonts w:eastAsia="Times New Roman"/>
                <w:b/>
                <w:color w:val="000000"/>
                <w:lang w:eastAsia="es-ES"/>
              </w:rPr>
              <w:t xml:space="preserve">ENTIDAD: </w:t>
            </w:r>
          </w:p>
        </w:tc>
        <w:tc>
          <w:tcPr>
            <w:tcW w:w="6935" w:type="dxa"/>
            <w:gridSpan w:val="3"/>
            <w:noWrap/>
            <w:hideMark/>
          </w:tcPr>
          <w:p w:rsidR="00AE1A93" w:rsidRPr="00C10BD0" w:rsidRDefault="00AE1A93" w:rsidP="00CC2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SERVICIO GEOLÓGICO COLOMBIANO    </w:t>
            </w:r>
          </w:p>
        </w:tc>
        <w:tc>
          <w:tcPr>
            <w:tcW w:w="3696" w:type="dxa"/>
            <w:gridSpan w:val="2"/>
            <w:noWrap/>
            <w:hideMark/>
          </w:tcPr>
          <w:p w:rsidR="00AE1A93" w:rsidRPr="00C10BD0" w:rsidRDefault="00AE1A93" w:rsidP="00CC2C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       </w:t>
            </w:r>
            <w:r w:rsidRPr="00C10BD0">
              <w:rPr>
                <w:rFonts w:eastAsia="Times New Roman"/>
                <w:b/>
                <w:color w:val="000000"/>
                <w:lang w:eastAsia="es-ES"/>
              </w:rPr>
              <w:t xml:space="preserve">AÑO </w:t>
            </w:r>
            <w:r w:rsidR="00C10BD0" w:rsidRPr="00C10BD0">
              <w:rPr>
                <w:rFonts w:eastAsia="Times New Roman"/>
                <w:b/>
                <w:color w:val="000000"/>
                <w:lang w:eastAsia="es-ES"/>
              </w:rPr>
              <w:t>2015</w:t>
            </w:r>
          </w:p>
          <w:p w:rsidR="00AE1A93" w:rsidRPr="00C10BD0" w:rsidRDefault="00AE1A93" w:rsidP="00CC2C8D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   </w:t>
            </w:r>
          </w:p>
        </w:tc>
      </w:tr>
      <w:tr w:rsidR="00AE1A93" w:rsidRPr="00C10BD0" w:rsidTr="00C10BD0">
        <w:trPr>
          <w:trHeight w:val="840"/>
        </w:trPr>
        <w:tc>
          <w:tcPr>
            <w:tcW w:w="1526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bCs/>
                <w:color w:val="000000"/>
                <w:lang w:eastAsia="es-ES"/>
              </w:rPr>
              <w:t>Estrategia, mecanismo, medida, etc.</w:t>
            </w:r>
          </w:p>
        </w:tc>
        <w:tc>
          <w:tcPr>
            <w:tcW w:w="3708" w:type="dxa"/>
            <w:hideMark/>
          </w:tcPr>
          <w:p w:rsidR="00AE1A93" w:rsidRPr="00C10BD0" w:rsidRDefault="00AE1A93" w:rsidP="00CC2C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bCs/>
                <w:color w:val="000000"/>
                <w:lang w:eastAsia="es-ES"/>
              </w:rPr>
              <w:t>ACTIVIDAD</w:t>
            </w:r>
          </w:p>
        </w:tc>
        <w:tc>
          <w:tcPr>
            <w:tcW w:w="1713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bCs/>
                <w:color w:val="000000"/>
                <w:lang w:eastAsia="es-ES"/>
              </w:rPr>
              <w:t>PUBLICACIÓN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bCs/>
                <w:color w:val="000000"/>
                <w:lang w:eastAsia="es-ES"/>
              </w:rPr>
              <w:t>ACTIVIDADES REALIZADAS</w:t>
            </w: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bCs/>
                <w:color w:val="000000"/>
                <w:lang w:eastAsia="es-ES"/>
              </w:rPr>
              <w:t>RESPONSABLE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 w:val="restart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color w:val="000000"/>
                <w:lang w:eastAsia="es-ES"/>
              </w:rPr>
              <w:t>Mapa de Riesgos de Corrupción</w:t>
            </w:r>
          </w:p>
        </w:tc>
        <w:tc>
          <w:tcPr>
            <w:tcW w:w="3708" w:type="dxa"/>
            <w:hideMark/>
          </w:tcPr>
          <w:p w:rsidR="00AE1A93" w:rsidRPr="00C10BD0" w:rsidRDefault="00AE1A93" w:rsidP="00CC2C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 w:firstLine="2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Construcción Plan de acción para la implementación de </w:t>
            </w:r>
            <w:r w:rsidRPr="00C10BD0">
              <w:t xml:space="preserve"> </w:t>
            </w:r>
            <w:r w:rsidRPr="00C10BD0">
              <w:rPr>
                <w:rFonts w:eastAsia="Times New Roman"/>
                <w:color w:val="000000"/>
                <w:lang w:eastAsia="es-ES"/>
              </w:rPr>
              <w:t>estrategia institucional de lucha contra la corrupción y atención al ciudadano</w:t>
            </w:r>
          </w:p>
        </w:tc>
        <w:tc>
          <w:tcPr>
            <w:tcW w:w="1713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31  de enero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Grupo  de Planeación y Grupo de Participación Ciudadana y Comunicaciones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708" w:type="dxa"/>
            <w:hideMark/>
          </w:tcPr>
          <w:p w:rsidR="00AE1A93" w:rsidRPr="00C10BD0" w:rsidRDefault="0057243C" w:rsidP="0057243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2. Actualización y divulgación del </w:t>
            </w:r>
            <w:r w:rsidR="00AE1A93" w:rsidRPr="00C10BD0">
              <w:rPr>
                <w:rFonts w:eastAsia="Times New Roman"/>
                <w:color w:val="000000"/>
                <w:lang w:eastAsia="es-ES"/>
              </w:rPr>
              <w:t>Mapa de Riesgos</w:t>
            </w:r>
            <w:r w:rsidRPr="00C10BD0">
              <w:rPr>
                <w:rFonts w:eastAsia="Times New Roman"/>
                <w:color w:val="000000"/>
                <w:lang w:eastAsia="es-ES"/>
              </w:rPr>
              <w:t xml:space="preserve"> de Corrupción</w:t>
            </w:r>
          </w:p>
        </w:tc>
        <w:tc>
          <w:tcPr>
            <w:tcW w:w="1713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15 de septiembre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Grupo de Participación Ciudadana y Comunicaciones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708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3.Seguimiento al mapa de riesgos de corrupción</w:t>
            </w:r>
          </w:p>
        </w:tc>
        <w:tc>
          <w:tcPr>
            <w:tcW w:w="1713" w:type="dxa"/>
            <w:hideMark/>
          </w:tcPr>
          <w:p w:rsidR="00AE1A93" w:rsidRPr="00C10BD0" w:rsidRDefault="00395639" w:rsidP="0039563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31 de mayo, 30 de septiembre y 31 de enero de 2016</w:t>
            </w:r>
            <w:r w:rsidR="00AE1A93" w:rsidRPr="00C10BD0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Oficina de Control Interno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 w:val="restart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color w:val="000000"/>
                <w:lang w:eastAsia="es-ES"/>
              </w:rPr>
              <w:t>Estrategia Antitrámites</w:t>
            </w:r>
          </w:p>
        </w:tc>
        <w:tc>
          <w:tcPr>
            <w:tcW w:w="3708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1.Elaboración Plan de acción para la implementación de la estrategia Antitrámites</w:t>
            </w:r>
          </w:p>
        </w:tc>
        <w:tc>
          <w:tcPr>
            <w:tcW w:w="1713" w:type="dxa"/>
            <w:hideMark/>
          </w:tcPr>
          <w:p w:rsidR="00AE1A93" w:rsidRPr="00C10BD0" w:rsidRDefault="00AE1A93" w:rsidP="0039563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  <w:r w:rsidR="00395639" w:rsidRPr="00C10BD0">
              <w:rPr>
                <w:rFonts w:eastAsia="Times New Roman"/>
                <w:color w:val="000000"/>
                <w:lang w:eastAsia="es-ES"/>
              </w:rPr>
              <w:t>31 de enero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Grupo de Planeación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708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2.Ejecución del plan de acción </w:t>
            </w:r>
          </w:p>
        </w:tc>
        <w:tc>
          <w:tcPr>
            <w:tcW w:w="1713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15 de diciembre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Grupo de Planeación</w:t>
            </w:r>
            <w:r w:rsidR="0057243C" w:rsidRPr="00C10BD0">
              <w:rPr>
                <w:rFonts w:eastAsia="Times New Roman"/>
                <w:color w:val="000000"/>
                <w:lang w:eastAsia="es-ES"/>
              </w:rPr>
              <w:t xml:space="preserve"> y áreas técnicas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708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3.Actualización Plan de acción de la Política Cero Papel</w:t>
            </w:r>
          </w:p>
        </w:tc>
        <w:tc>
          <w:tcPr>
            <w:tcW w:w="1713" w:type="dxa"/>
            <w:hideMark/>
          </w:tcPr>
          <w:p w:rsidR="0057243C" w:rsidRPr="00C10BD0" w:rsidRDefault="00AE1A93" w:rsidP="00B76C4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  <w:r w:rsidR="0057243C" w:rsidRPr="00C10BD0">
              <w:rPr>
                <w:rFonts w:eastAsia="Times New Roman"/>
                <w:color w:val="000000"/>
                <w:lang w:eastAsia="es-ES"/>
              </w:rPr>
              <w:t xml:space="preserve">31 de enero 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Grupo de Participación Ciudadana y Comunicaciones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708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4. Ejecución, divulgación y seguimiento a los planes de acción. 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13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Trimestral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Grupo de Planeación y Grupo de Participación Ciudadana y Comunicaciones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color w:val="000000"/>
                <w:lang w:eastAsia="es-ES"/>
              </w:rPr>
              <w:lastRenderedPageBreak/>
              <w:t>Estrategia de Rendición de Cuentas</w:t>
            </w:r>
          </w:p>
        </w:tc>
        <w:tc>
          <w:tcPr>
            <w:tcW w:w="3708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1.Realizar la Audiencia Pública de Rendición de Cuentas de acuerdo a los lineamientos establecidos por DAFP y Transparencia por Colombia </w:t>
            </w:r>
          </w:p>
        </w:tc>
        <w:tc>
          <w:tcPr>
            <w:tcW w:w="1713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 20 de diciembre 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  Grupo de Participación Ciudadana y Comunicaciones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 w:val="restart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b/>
                <w:color w:val="000000"/>
                <w:lang w:eastAsia="es-ES"/>
              </w:rPr>
              <w:t>Mecanismos para mejorar la atención al ciudadano</w:t>
            </w:r>
          </w:p>
        </w:tc>
        <w:tc>
          <w:tcPr>
            <w:tcW w:w="3708" w:type="dxa"/>
          </w:tcPr>
          <w:p w:rsidR="00AE1A93" w:rsidRPr="00C10BD0" w:rsidRDefault="003F42AC" w:rsidP="003F42AC">
            <w:pPr>
              <w:numPr>
                <w:ilvl w:val="0"/>
                <w:numId w:val="4"/>
              </w:numPr>
              <w:spacing w:after="0" w:line="240" w:lineRule="auto"/>
              <w:ind w:left="214" w:hanging="214"/>
              <w:rPr>
                <w:rFonts w:eastAsia="Times New Roman"/>
                <w:color w:val="000000"/>
                <w:lang w:val="es-CO" w:eastAsia="es-ES"/>
              </w:rPr>
            </w:pPr>
            <w:r w:rsidRPr="00C10BD0">
              <w:rPr>
                <w:rFonts w:eastAsia="Times New Roman"/>
                <w:color w:val="000000"/>
                <w:lang w:val="es-CO" w:eastAsia="es-ES"/>
              </w:rPr>
              <w:t>Realizar encuentros de diálogo  con ciudadanos en relación con normas, políticas o programas del sector minero energético</w:t>
            </w:r>
          </w:p>
        </w:tc>
        <w:tc>
          <w:tcPr>
            <w:tcW w:w="1713" w:type="dxa"/>
          </w:tcPr>
          <w:p w:rsidR="00AE1A93" w:rsidRPr="00C10BD0" w:rsidRDefault="003F42AC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 xml:space="preserve">20 de diciembre </w:t>
            </w:r>
          </w:p>
        </w:tc>
        <w:tc>
          <w:tcPr>
            <w:tcW w:w="2375" w:type="dxa"/>
            <w:gridSpan w:val="2"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2835" w:type="dxa"/>
          </w:tcPr>
          <w:p w:rsidR="00AE1A93" w:rsidRPr="00C10BD0" w:rsidRDefault="003F42AC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Grupo de Participación Ciudadana y Comunicaciones</w:t>
            </w:r>
          </w:p>
        </w:tc>
      </w:tr>
      <w:tr w:rsidR="00AE1A93" w:rsidRPr="00C10BD0" w:rsidTr="00C10BD0">
        <w:trPr>
          <w:trHeight w:val="502"/>
        </w:trPr>
        <w:tc>
          <w:tcPr>
            <w:tcW w:w="1526" w:type="dxa"/>
            <w:vMerge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708" w:type="dxa"/>
            <w:hideMark/>
          </w:tcPr>
          <w:p w:rsidR="00AE1A93" w:rsidRPr="00C10BD0" w:rsidRDefault="003F42AC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2</w:t>
            </w:r>
            <w:r w:rsidR="00AE1A93" w:rsidRPr="00C10BD0">
              <w:rPr>
                <w:rFonts w:eastAsia="Times New Roman"/>
                <w:color w:val="000000"/>
                <w:lang w:eastAsia="es-ES"/>
              </w:rPr>
              <w:t>.Desarrollo e implementación de estudios de percepción</w:t>
            </w:r>
          </w:p>
        </w:tc>
        <w:tc>
          <w:tcPr>
            <w:tcW w:w="1713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Permanente</w:t>
            </w:r>
          </w:p>
        </w:tc>
        <w:tc>
          <w:tcPr>
            <w:tcW w:w="2375" w:type="dxa"/>
            <w:gridSpan w:val="2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2835" w:type="dxa"/>
            <w:hideMark/>
          </w:tcPr>
          <w:p w:rsidR="00AE1A93" w:rsidRPr="00C10BD0" w:rsidRDefault="00AE1A93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Grupo de Participación Ciudadana y Comunicaciones</w:t>
            </w:r>
          </w:p>
        </w:tc>
      </w:tr>
      <w:tr w:rsidR="002F544A" w:rsidRPr="00C10BD0" w:rsidTr="00C10BD0">
        <w:trPr>
          <w:trHeight w:val="795"/>
        </w:trPr>
        <w:tc>
          <w:tcPr>
            <w:tcW w:w="1526" w:type="dxa"/>
            <w:hideMark/>
          </w:tcPr>
          <w:p w:rsidR="002F544A" w:rsidRPr="00C10BD0" w:rsidRDefault="002F544A" w:rsidP="00CC2C8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Aprobación del documento</w:t>
            </w:r>
          </w:p>
        </w:tc>
        <w:tc>
          <w:tcPr>
            <w:tcW w:w="10631" w:type="dxa"/>
            <w:gridSpan w:val="5"/>
          </w:tcPr>
          <w:p w:rsidR="002F544A" w:rsidRPr="00C10BD0" w:rsidRDefault="002F544A" w:rsidP="00C10BD0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10BD0">
              <w:rPr>
                <w:rFonts w:eastAsia="Times New Roman"/>
                <w:color w:val="000000"/>
                <w:lang w:eastAsia="es-ES"/>
              </w:rPr>
              <w:t>Comité de Desarrollo Administrativo – Enero  de 2015</w:t>
            </w:r>
          </w:p>
        </w:tc>
      </w:tr>
    </w:tbl>
    <w:p w:rsidR="009E3C79" w:rsidRPr="001E2E49" w:rsidRDefault="009E3C79" w:rsidP="00C10BD0">
      <w:pPr>
        <w:spacing w:after="0" w:line="240" w:lineRule="auto"/>
        <w:rPr>
          <w:rFonts w:eastAsia="Times New Roman"/>
          <w:color w:val="000000"/>
          <w:sz w:val="18"/>
          <w:lang w:eastAsia="es-ES"/>
        </w:rPr>
      </w:pPr>
    </w:p>
    <w:p w:rsidR="009E3C79" w:rsidRPr="001E2E49" w:rsidRDefault="009E3C79" w:rsidP="002130DC">
      <w:pPr>
        <w:spacing w:after="0" w:line="240" w:lineRule="auto"/>
        <w:ind w:firstLine="708"/>
        <w:rPr>
          <w:rFonts w:eastAsia="Times New Roman"/>
          <w:color w:val="000000"/>
          <w:sz w:val="18"/>
          <w:lang w:eastAsia="es-ES"/>
        </w:rPr>
      </w:pPr>
    </w:p>
    <w:sectPr w:rsidR="009E3C79" w:rsidRPr="001E2E49" w:rsidSect="002130DC">
      <w:pgSz w:w="15842" w:h="12242" w:orient="landscape" w:code="1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4"/>
    <w:multiLevelType w:val="hybridMultilevel"/>
    <w:tmpl w:val="A3C2F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001"/>
    <w:multiLevelType w:val="hybridMultilevel"/>
    <w:tmpl w:val="32F40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95A"/>
    <w:multiLevelType w:val="hybridMultilevel"/>
    <w:tmpl w:val="0A34A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7376"/>
    <w:multiLevelType w:val="hybridMultilevel"/>
    <w:tmpl w:val="783AA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A"/>
    <w:rsid w:val="0000348A"/>
    <w:rsid w:val="00056B90"/>
    <w:rsid w:val="00076AD8"/>
    <w:rsid w:val="000D494B"/>
    <w:rsid w:val="000E001A"/>
    <w:rsid w:val="000F05D3"/>
    <w:rsid w:val="00126D29"/>
    <w:rsid w:val="00142CD1"/>
    <w:rsid w:val="00153D9E"/>
    <w:rsid w:val="00154A8A"/>
    <w:rsid w:val="0018085F"/>
    <w:rsid w:val="001B167D"/>
    <w:rsid w:val="001C0565"/>
    <w:rsid w:val="001D6C69"/>
    <w:rsid w:val="001D7E1A"/>
    <w:rsid w:val="001E2E49"/>
    <w:rsid w:val="001E4B82"/>
    <w:rsid w:val="002077EB"/>
    <w:rsid w:val="002130DC"/>
    <w:rsid w:val="002649F0"/>
    <w:rsid w:val="002B0A80"/>
    <w:rsid w:val="002C0CE0"/>
    <w:rsid w:val="002D27E7"/>
    <w:rsid w:val="002D28E4"/>
    <w:rsid w:val="002E70EA"/>
    <w:rsid w:val="002F544A"/>
    <w:rsid w:val="00302555"/>
    <w:rsid w:val="00395639"/>
    <w:rsid w:val="003F42AC"/>
    <w:rsid w:val="00403D23"/>
    <w:rsid w:val="00483FEB"/>
    <w:rsid w:val="00497535"/>
    <w:rsid w:val="004D4120"/>
    <w:rsid w:val="004D7804"/>
    <w:rsid w:val="004F53A9"/>
    <w:rsid w:val="00520DA4"/>
    <w:rsid w:val="005570B5"/>
    <w:rsid w:val="00564E22"/>
    <w:rsid w:val="0057243C"/>
    <w:rsid w:val="005A327E"/>
    <w:rsid w:val="005B12FE"/>
    <w:rsid w:val="005F2644"/>
    <w:rsid w:val="00626F47"/>
    <w:rsid w:val="006877AF"/>
    <w:rsid w:val="006B0E22"/>
    <w:rsid w:val="006D6600"/>
    <w:rsid w:val="006F418E"/>
    <w:rsid w:val="00754F17"/>
    <w:rsid w:val="007555DA"/>
    <w:rsid w:val="007670B0"/>
    <w:rsid w:val="007727A7"/>
    <w:rsid w:val="007A06D0"/>
    <w:rsid w:val="007F46BA"/>
    <w:rsid w:val="008033EB"/>
    <w:rsid w:val="008772CC"/>
    <w:rsid w:val="00906C82"/>
    <w:rsid w:val="00916F20"/>
    <w:rsid w:val="00930310"/>
    <w:rsid w:val="00967751"/>
    <w:rsid w:val="009776C7"/>
    <w:rsid w:val="00977E6D"/>
    <w:rsid w:val="009A3CE5"/>
    <w:rsid w:val="009A5A9C"/>
    <w:rsid w:val="009B5C3E"/>
    <w:rsid w:val="009B7557"/>
    <w:rsid w:val="009E3C79"/>
    <w:rsid w:val="00A031D7"/>
    <w:rsid w:val="00A06947"/>
    <w:rsid w:val="00A07490"/>
    <w:rsid w:val="00A12FE5"/>
    <w:rsid w:val="00A252BE"/>
    <w:rsid w:val="00A81A78"/>
    <w:rsid w:val="00A962C9"/>
    <w:rsid w:val="00AC7149"/>
    <w:rsid w:val="00AE1A93"/>
    <w:rsid w:val="00AE2505"/>
    <w:rsid w:val="00B7415D"/>
    <w:rsid w:val="00B76AB2"/>
    <w:rsid w:val="00B76C45"/>
    <w:rsid w:val="00B77D60"/>
    <w:rsid w:val="00BB5955"/>
    <w:rsid w:val="00C10BD0"/>
    <w:rsid w:val="00C32707"/>
    <w:rsid w:val="00C6496C"/>
    <w:rsid w:val="00C77A16"/>
    <w:rsid w:val="00C965FC"/>
    <w:rsid w:val="00CC2C8D"/>
    <w:rsid w:val="00D02735"/>
    <w:rsid w:val="00D050F1"/>
    <w:rsid w:val="00D20DD3"/>
    <w:rsid w:val="00D5263C"/>
    <w:rsid w:val="00D867AC"/>
    <w:rsid w:val="00D9742A"/>
    <w:rsid w:val="00DC010F"/>
    <w:rsid w:val="00DC6D56"/>
    <w:rsid w:val="00E203E4"/>
    <w:rsid w:val="00E4705C"/>
    <w:rsid w:val="00E61D5B"/>
    <w:rsid w:val="00E95D18"/>
    <w:rsid w:val="00F05B7F"/>
    <w:rsid w:val="00F10823"/>
    <w:rsid w:val="00F9182D"/>
    <w:rsid w:val="00FA07FC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7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8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1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7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8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1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78B07696C3C44A8F1C051ACD2E61A7" ma:contentTypeVersion="3" ma:contentTypeDescription="Crear nuevo documento." ma:contentTypeScope="" ma:versionID="12006b804ac731904056f17db45b150d">
  <xsd:schema xmlns:xsd="http://www.w3.org/2001/XMLSchema" xmlns:xs="http://www.w3.org/2001/XMLSchema" xmlns:p="http://schemas.microsoft.com/office/2006/metadata/properties" xmlns:ns2="596869a7-eb7e-40f0-9e8c-964dac23f706" targetNamespace="http://schemas.microsoft.com/office/2006/metadata/properties" ma:root="true" ma:fieldsID="b2ee83acfccef5d80c80074ec6b17190" ns2:_=""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6869a7-eb7e-40f0-9e8c-964dac23f706">25XCQX5SHMCR-2119704930-5</_dlc_DocId>
    <_dlc_DocIdUrl xmlns="596869a7-eb7e-40f0-9e8c-964dac23f706">
      <Url>https://www2.sgc.gov.co/ControlYRendicion/TransparenciasYAccesoAlaInformacion/_layouts/15/DocIdRedir.aspx?ID=25XCQX5SHMCR-2119704930-5</Url>
      <Description>25XCQX5SHMCR-2119704930-5</Description>
    </_dlc_DocIdUrl>
  </documentManagement>
</p:properties>
</file>

<file path=customXml/itemProps1.xml><?xml version="1.0" encoding="utf-8"?>
<ds:datastoreItem xmlns:ds="http://schemas.openxmlformats.org/officeDocument/2006/customXml" ds:itemID="{B277E56E-2381-45EF-B039-A767BD0C44F6}"/>
</file>

<file path=customXml/itemProps2.xml><?xml version="1.0" encoding="utf-8"?>
<ds:datastoreItem xmlns:ds="http://schemas.openxmlformats.org/officeDocument/2006/customXml" ds:itemID="{3BB03FEB-1868-4AF2-B36D-C98F465D47D8}"/>
</file>

<file path=customXml/itemProps3.xml><?xml version="1.0" encoding="utf-8"?>
<ds:datastoreItem xmlns:ds="http://schemas.openxmlformats.org/officeDocument/2006/customXml" ds:itemID="{25285FB7-3223-4E63-B6B0-FBAF1B776693}"/>
</file>

<file path=customXml/itemProps4.xml><?xml version="1.0" encoding="utf-8"?>
<ds:datastoreItem xmlns:ds="http://schemas.openxmlformats.org/officeDocument/2006/customXml" ds:itemID="{12F808E9-25E6-4D81-878A-4A5B1D03AD13}"/>
</file>

<file path=customXml/itemProps5.xml><?xml version="1.0" encoding="utf-8"?>
<ds:datastoreItem xmlns:ds="http://schemas.openxmlformats.org/officeDocument/2006/customXml" ds:itemID="{E1BEFD70-17E0-4BA3-A0D6-7CED0BEBC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landrade</dc:creator>
  <cp:lastModifiedBy>José David Palacios</cp:lastModifiedBy>
  <cp:revision>2</cp:revision>
  <cp:lastPrinted>2014-01-31T16:54:00Z</cp:lastPrinted>
  <dcterms:created xsi:type="dcterms:W3CDTF">2015-05-04T16:37:00Z</dcterms:created>
  <dcterms:modified xsi:type="dcterms:W3CDTF">2015-05-04T16:37:00Z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0x0101003178B07696C3C44A8F1C051ACD2E61A7</vt:lpwstr>
  </property>
  <property fmtid="{D5CDD505-2E9C-101B-9397-08002B2CF9AE}" pid="3" name="_dlc_DocIdItemGuid">
    <vt:lpwstr>2531ef23-1d2b-4be6-899f-255638ea962d</vt:lpwstr>
  </property>
</Properties>
</file>